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D2BED" w14:textId="679E274E" w:rsidR="00CE0C5F" w:rsidRDefault="00CE0C5F" w:rsidP="00CE0C5F">
      <w:pPr>
        <w:pStyle w:val="Header"/>
        <w:tabs>
          <w:tab w:val="right" w:pos="9900"/>
          <w:tab w:val="right" w:pos="13323"/>
        </w:tabs>
        <w:rPr>
          <w:sz w:val="24"/>
          <w:szCs w:val="24"/>
          <w:lang w:val="pt-BR"/>
        </w:rPr>
      </w:pPr>
      <w:bookmarkStart w:id="0" w:name="_Hlk494371635"/>
      <w:r>
        <w:rPr>
          <w:sz w:val="24"/>
          <w:szCs w:val="24"/>
          <w:lang w:val="pt-BR"/>
        </w:rPr>
        <w:t>3GPP TSG-RAN WG4 RAN4-90</w:t>
      </w:r>
      <w:r>
        <w:rPr>
          <w:sz w:val="24"/>
          <w:szCs w:val="24"/>
          <w:lang w:val="pt-BR"/>
        </w:rPr>
        <w:tab/>
      </w:r>
      <w:r w:rsidR="000C7973" w:rsidRPr="000C7973">
        <w:rPr>
          <w:sz w:val="24"/>
          <w:szCs w:val="24"/>
          <w:lang w:val="pt-BR"/>
        </w:rPr>
        <w:t>R4-1900972</w:t>
      </w:r>
    </w:p>
    <w:bookmarkEnd w:id="0"/>
    <w:p w14:paraId="2E9B18E3" w14:textId="77777777" w:rsidR="00CE0C5F" w:rsidRDefault="00CE0C5F" w:rsidP="00CE0C5F">
      <w:pPr>
        <w:pStyle w:val="Header"/>
        <w:tabs>
          <w:tab w:val="right" w:pos="10206"/>
        </w:tabs>
        <w:spacing w:after="120"/>
        <w:rPr>
          <w:rFonts w:cs="Arial"/>
          <w:sz w:val="24"/>
        </w:rPr>
      </w:pPr>
      <w:r>
        <w:rPr>
          <w:rFonts w:cs="Arial"/>
          <w:sz w:val="24"/>
        </w:rPr>
        <w:t>Athens, Greece, 25 February – 1 March 2019</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106774C8" w14:textId="752D93B7" w:rsidR="00F37D44" w:rsidRDefault="00664D98" w:rsidP="00F37D44">
      <w:pPr>
        <w:spacing w:after="120"/>
        <w:ind w:left="1985" w:hanging="1985"/>
        <w:rPr>
          <w:rFonts w:ascii="Arial" w:hAnsi="Arial" w:cs="Arial"/>
          <w:bCs/>
          <w:color w:val="FF0000"/>
        </w:rPr>
      </w:pPr>
      <w:r w:rsidRPr="00F37D44">
        <w:rPr>
          <w:b/>
          <w:sz w:val="24"/>
          <w:szCs w:val="24"/>
          <w:lang w:val="en-US"/>
        </w:rPr>
        <w:t>Title:</w:t>
      </w:r>
      <w:r w:rsidR="00F37D44">
        <w:rPr>
          <w:b/>
        </w:rPr>
        <w:t xml:space="preserve"> </w:t>
      </w:r>
      <w:r w:rsidR="000B550E" w:rsidRPr="000B550E">
        <w:rPr>
          <w:sz w:val="24"/>
          <w:szCs w:val="24"/>
          <w:lang w:val="en-US"/>
        </w:rPr>
        <w:t xml:space="preserve">Size of exclusion zones for EMC immunity for OTA AAS </w:t>
      </w:r>
      <w:proofErr w:type="spellStart"/>
      <w:r w:rsidR="000B550E" w:rsidRPr="000B550E">
        <w:rPr>
          <w:sz w:val="24"/>
          <w:szCs w:val="24"/>
          <w:lang w:val="en-US"/>
        </w:rPr>
        <w:t>AAS</w:t>
      </w:r>
      <w:proofErr w:type="spellEnd"/>
      <w:r w:rsidR="000B550E" w:rsidRPr="000B550E">
        <w:rPr>
          <w:sz w:val="24"/>
          <w:szCs w:val="24"/>
          <w:lang w:val="en-US"/>
        </w:rPr>
        <w:t xml:space="preserve"> and NR 1-O below 100 MHz</w:t>
      </w:r>
    </w:p>
    <w:p w14:paraId="7E9B3BA8" w14:textId="64CFE799" w:rsidR="00664D98" w:rsidRPr="00C34F70" w:rsidRDefault="00664D98" w:rsidP="00664D98">
      <w:pPr>
        <w:pStyle w:val="BodyText"/>
        <w:spacing w:after="120"/>
      </w:pPr>
      <w:r w:rsidRPr="00C34F70">
        <w:rPr>
          <w:b/>
        </w:rPr>
        <w:t>Agenda item:</w:t>
      </w:r>
      <w:r w:rsidRPr="00C34F70">
        <w:rPr>
          <w:b/>
        </w:rPr>
        <w:tab/>
      </w:r>
      <w:r w:rsidRPr="00C34F70">
        <w:rPr>
          <w:b/>
        </w:rPr>
        <w:tab/>
      </w:r>
      <w:r w:rsidR="00640D80" w:rsidRPr="00640D80">
        <w:t>6.11.2.2</w:t>
      </w:r>
      <w:r w:rsidR="00631824">
        <w:t>s</w:t>
      </w:r>
      <w:bookmarkStart w:id="1" w:name="_GoBack"/>
      <w:bookmarkEnd w:id="1"/>
    </w:p>
    <w:p w14:paraId="244C963E" w14:textId="32C2B991" w:rsidR="00664D98" w:rsidRPr="005C2B50" w:rsidRDefault="00664D98" w:rsidP="00664D98">
      <w:pPr>
        <w:pStyle w:val="BodyText"/>
        <w:spacing w:after="120"/>
        <w:rPr>
          <w:b/>
        </w:rPr>
      </w:pPr>
      <w:r w:rsidRPr="005C2B50">
        <w:rPr>
          <w:b/>
        </w:rPr>
        <w:t>Document for:</w:t>
      </w:r>
      <w:r w:rsidRPr="005C2B50">
        <w:rPr>
          <w:b/>
        </w:rPr>
        <w:tab/>
      </w:r>
      <w:r w:rsidR="00D35C7F">
        <w:t>Approval</w:t>
      </w:r>
    </w:p>
    <w:p w14:paraId="292C85E4" w14:textId="77777777" w:rsidR="00664D98" w:rsidRDefault="00664D98" w:rsidP="00664D98">
      <w:pPr>
        <w:pStyle w:val="Heading1"/>
        <w:rPr>
          <w:lang w:val="en-US"/>
        </w:rPr>
      </w:pPr>
      <w:r w:rsidRPr="006A67A0">
        <w:rPr>
          <w:lang w:val="en-US"/>
        </w:rPr>
        <w:t>Introduction</w:t>
      </w:r>
    </w:p>
    <w:p w14:paraId="6FE1C866" w14:textId="3E6CE477" w:rsidR="00205D9B" w:rsidRPr="00FF6480" w:rsidRDefault="00D23CFC" w:rsidP="00D23CFC">
      <w:pPr>
        <w:spacing w:line="276" w:lineRule="auto"/>
        <w:jc w:val="both"/>
        <w:rPr>
          <w:color w:val="000000" w:themeColor="text1"/>
          <w:sz w:val="22"/>
          <w:szCs w:val="22"/>
        </w:rPr>
      </w:pPr>
      <w:r w:rsidRPr="00D23CFC">
        <w:rPr>
          <w:color w:val="000000" w:themeColor="text1"/>
          <w:sz w:val="22"/>
          <w:szCs w:val="22"/>
        </w:rPr>
        <w:t>In previous RAN4 meetings, the discussion around the EMC immunity exclusion zones in relation to out-of-band blocking for AA</w:t>
      </w:r>
      <w:r w:rsidR="008374B0">
        <w:rPr>
          <w:color w:val="000000" w:themeColor="text1"/>
          <w:sz w:val="22"/>
          <w:szCs w:val="22"/>
        </w:rPr>
        <w:t>S and NR for bands larger than 1</w:t>
      </w:r>
      <w:r w:rsidRPr="00D23CFC">
        <w:rPr>
          <w:color w:val="000000" w:themeColor="text1"/>
          <w:sz w:val="22"/>
          <w:szCs w:val="22"/>
        </w:rPr>
        <w:t xml:space="preserve">00 </w:t>
      </w:r>
      <w:proofErr w:type="spellStart"/>
      <w:r w:rsidRPr="00D23CFC">
        <w:rPr>
          <w:color w:val="000000" w:themeColor="text1"/>
          <w:sz w:val="22"/>
          <w:szCs w:val="22"/>
        </w:rPr>
        <w:t>MHz.</w:t>
      </w:r>
      <w:proofErr w:type="spellEnd"/>
      <w:r>
        <w:rPr>
          <w:color w:val="000000" w:themeColor="text1"/>
          <w:sz w:val="22"/>
          <w:szCs w:val="22"/>
        </w:rPr>
        <w:t xml:space="preserve"> </w:t>
      </w:r>
      <w:r w:rsidRPr="00D23CFC">
        <w:rPr>
          <w:color w:val="000000" w:themeColor="text1"/>
          <w:sz w:val="22"/>
          <w:szCs w:val="22"/>
        </w:rPr>
        <w:t xml:space="preserve">In this paper, we </w:t>
      </w:r>
      <w:r w:rsidR="009971F7">
        <w:rPr>
          <w:color w:val="000000" w:themeColor="text1"/>
          <w:sz w:val="22"/>
          <w:szCs w:val="22"/>
        </w:rPr>
        <w:t xml:space="preserve">present argumentation on the need for extending the size of the exclusion bands for </w:t>
      </w:r>
      <w:r w:rsidR="008B4144">
        <w:rPr>
          <w:color w:val="000000" w:themeColor="text1"/>
          <w:sz w:val="22"/>
          <w:szCs w:val="22"/>
        </w:rPr>
        <w:t xml:space="preserve">OTA AAS BS and NR type 1-O BS with operating band widths below 100 </w:t>
      </w:r>
      <w:proofErr w:type="spellStart"/>
      <w:r w:rsidR="008B4144">
        <w:rPr>
          <w:color w:val="000000" w:themeColor="text1"/>
          <w:sz w:val="22"/>
          <w:szCs w:val="22"/>
        </w:rPr>
        <w:t>MHz</w:t>
      </w:r>
      <w:r w:rsidR="009334B2">
        <w:rPr>
          <w:color w:val="000000" w:themeColor="text1"/>
          <w:sz w:val="22"/>
          <w:szCs w:val="22"/>
        </w:rPr>
        <w:t>.</w:t>
      </w:r>
      <w:proofErr w:type="spellEnd"/>
      <w:r w:rsidR="008B4144">
        <w:rPr>
          <w:color w:val="000000" w:themeColor="text1"/>
          <w:sz w:val="22"/>
          <w:szCs w:val="22"/>
        </w:rPr>
        <w:t xml:space="preserve"> </w:t>
      </w:r>
    </w:p>
    <w:p w14:paraId="47A8774F" w14:textId="4284365B" w:rsidR="002E57B8" w:rsidRDefault="002E57B8" w:rsidP="002E57B8">
      <w:pPr>
        <w:pStyle w:val="Heading1"/>
      </w:pPr>
      <w:r>
        <w:t>Discussion</w:t>
      </w:r>
    </w:p>
    <w:p w14:paraId="01343DEF" w14:textId="37F0AF92"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 xml:space="preserve">The OTA out-of-band blocking requirement for AAS and NR for FR1 is based on 0.36 V/m (which corresponds to -15 dBm as conducted) and for bands </w:t>
      </w:r>
      <w:r w:rsidR="00034CBD">
        <w:rPr>
          <w:color w:val="000000" w:themeColor="text1"/>
          <w:sz w:val="22"/>
          <w:szCs w:val="22"/>
        </w:rPr>
        <w:t>smaller</w:t>
      </w:r>
      <w:r w:rsidRPr="00666B21">
        <w:rPr>
          <w:color w:val="000000" w:themeColor="text1"/>
          <w:sz w:val="22"/>
          <w:szCs w:val="22"/>
        </w:rPr>
        <w:t xml:space="preserve"> than </w:t>
      </w:r>
      <w:r w:rsidR="00034CBD">
        <w:rPr>
          <w:color w:val="000000" w:themeColor="text1"/>
          <w:sz w:val="22"/>
          <w:szCs w:val="22"/>
        </w:rPr>
        <w:t>1</w:t>
      </w:r>
      <w:r w:rsidRPr="00666B21">
        <w:rPr>
          <w:color w:val="000000" w:themeColor="text1"/>
          <w:sz w:val="22"/>
          <w:szCs w:val="22"/>
        </w:rPr>
        <w:t xml:space="preserve">00 MHz, the exclusion zone is specified as </w:t>
      </w:r>
      <w:r w:rsidR="00034CBD">
        <w:rPr>
          <w:color w:val="000000" w:themeColor="text1"/>
          <w:sz w:val="22"/>
          <w:szCs w:val="22"/>
        </w:rPr>
        <w:t>2</w:t>
      </w:r>
      <w:r w:rsidRPr="00666B21">
        <w:rPr>
          <w:color w:val="000000" w:themeColor="text1"/>
          <w:sz w:val="22"/>
          <w:szCs w:val="22"/>
        </w:rPr>
        <w:t xml:space="preserve">0 </w:t>
      </w:r>
      <w:proofErr w:type="spellStart"/>
      <w:r w:rsidRPr="00666B21">
        <w:rPr>
          <w:color w:val="000000" w:themeColor="text1"/>
          <w:sz w:val="22"/>
          <w:szCs w:val="22"/>
        </w:rPr>
        <w:t>MHz.</w:t>
      </w:r>
      <w:proofErr w:type="spellEnd"/>
      <w:r w:rsidRPr="00666B21">
        <w:rPr>
          <w:color w:val="000000" w:themeColor="text1"/>
          <w:sz w:val="22"/>
          <w:szCs w:val="22"/>
        </w:rPr>
        <w:t xml:space="preserve"> The in-band blocking requirements is expressed as -43 dBm indicating than the needed attenuation for transition from in-band blocking and out-of-band blocking is 28 dB which is the filter attenuation requirements to satisfy the in-band and out-of-band blocking.</w:t>
      </w:r>
    </w:p>
    <w:p w14:paraId="345258EB" w14:textId="1C691AF3"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The EMC immunity requirement is 10 V/m implying that the immunity interferer level in relation to out-of-band interferer is 20*</w:t>
      </w:r>
      <w:proofErr w:type="gramStart"/>
      <w:r w:rsidRPr="00666B21">
        <w:rPr>
          <w:color w:val="000000" w:themeColor="text1"/>
          <w:sz w:val="22"/>
          <w:szCs w:val="22"/>
        </w:rPr>
        <w:t>log(</w:t>
      </w:r>
      <w:proofErr w:type="gramEnd"/>
      <w:r w:rsidRPr="00666B21">
        <w:rPr>
          <w:color w:val="000000" w:themeColor="text1"/>
          <w:sz w:val="22"/>
          <w:szCs w:val="22"/>
        </w:rPr>
        <w:t>10/0.36)= 28.9 dB more stringent given same exclusion zone size. In practice the EMC immunity imply filter attenuation will dominate the filter design if size of the exclusion zones is not adapted to ~30 dB more stringent requirements that EMC immunity would imply.</w:t>
      </w:r>
      <w:r w:rsidR="0012197B">
        <w:rPr>
          <w:color w:val="000000" w:themeColor="text1"/>
          <w:sz w:val="22"/>
          <w:szCs w:val="22"/>
        </w:rPr>
        <w:t xml:space="preserve"> </w:t>
      </w:r>
      <w:r w:rsidRPr="00666B21">
        <w:rPr>
          <w:color w:val="000000" w:themeColor="text1"/>
          <w:sz w:val="22"/>
          <w:szCs w:val="22"/>
        </w:rPr>
        <w:t>One possible and reasonable approach avoiding this issue is to increase the size of exclusion zone for EMC immunity considering 30 dB additional attenuation needed.</w:t>
      </w:r>
    </w:p>
    <w:p w14:paraId="562A06F6" w14:textId="77F4FBF3"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 xml:space="preserve">Note that for EMC immunity, spatial exclusion might mitigate some part of 30 dB more stringent level but there are concerns about administrations accepting spatial exclusion as an alternative. For this </w:t>
      </w:r>
      <w:r w:rsidR="005162F5" w:rsidRPr="00666B21">
        <w:rPr>
          <w:color w:val="000000" w:themeColor="text1"/>
          <w:sz w:val="22"/>
          <w:szCs w:val="22"/>
        </w:rPr>
        <w:t>reason,</w:t>
      </w:r>
      <w:r w:rsidRPr="00666B21">
        <w:rPr>
          <w:color w:val="000000" w:themeColor="text1"/>
          <w:sz w:val="22"/>
          <w:szCs w:val="22"/>
        </w:rPr>
        <w:t xml:space="preserve"> we would like to have an additional option, in the form of extended exclusion zones. In our view the extension of exclusion zones is the only viable solution which need to be considered.</w:t>
      </w:r>
    </w:p>
    <w:p w14:paraId="3767D90A" w14:textId="274C4401" w:rsidR="00074B7A" w:rsidRDefault="00201A00" w:rsidP="0074576D">
      <w:pPr>
        <w:spacing w:line="276" w:lineRule="auto"/>
        <w:jc w:val="center"/>
        <w:rPr>
          <w:color w:val="000000" w:themeColor="text1"/>
          <w:sz w:val="22"/>
          <w:szCs w:val="22"/>
        </w:rPr>
      </w:pPr>
      <w:r>
        <w:rPr>
          <w:noProof/>
          <w:lang w:val="en-US"/>
        </w:rPr>
        <w:drawing>
          <wp:inline distT="0" distB="0" distL="0" distR="0" wp14:anchorId="33D9B4BA" wp14:editId="41F71FA8">
            <wp:extent cx="4848225" cy="2748192"/>
            <wp:effectExtent l="0" t="0" r="0" b="0"/>
            <wp:docPr id="1" name="Picture 1" descr="cid:image002.png@01D4C466.CF0A3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png@01D4C466.CF0A3D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885444" cy="2769289"/>
                    </a:xfrm>
                    <a:prstGeom prst="rect">
                      <a:avLst/>
                    </a:prstGeom>
                    <a:noFill/>
                    <a:ln>
                      <a:noFill/>
                    </a:ln>
                  </pic:spPr>
                </pic:pic>
              </a:graphicData>
            </a:graphic>
          </wp:inline>
        </w:drawing>
      </w:r>
    </w:p>
    <w:p w14:paraId="69791F31" w14:textId="5D37E21E" w:rsidR="004C385C" w:rsidRPr="00B86030" w:rsidRDefault="00B86030" w:rsidP="00201A00">
      <w:pPr>
        <w:spacing w:after="0"/>
        <w:jc w:val="center"/>
        <w:rPr>
          <w:b/>
          <w:color w:val="000000" w:themeColor="text1"/>
          <w:sz w:val="22"/>
          <w:szCs w:val="22"/>
        </w:rPr>
      </w:pPr>
      <w:r w:rsidRPr="00B86030">
        <w:rPr>
          <w:b/>
          <w:color w:val="000000" w:themeColor="text1"/>
          <w:sz w:val="22"/>
          <w:szCs w:val="22"/>
        </w:rPr>
        <w:t>Figure 1</w:t>
      </w:r>
      <w:r w:rsidRPr="00B86030">
        <w:rPr>
          <w:b/>
          <w:color w:val="000000" w:themeColor="text1"/>
          <w:sz w:val="22"/>
          <w:szCs w:val="22"/>
        </w:rPr>
        <w:tab/>
        <w:t>Filter examples.</w:t>
      </w:r>
    </w:p>
    <w:p w14:paraId="182B8ACA" w14:textId="59783216" w:rsidR="00B91F00" w:rsidRDefault="00B91F00" w:rsidP="00360836">
      <w:pPr>
        <w:spacing w:after="0" w:line="276" w:lineRule="auto"/>
        <w:jc w:val="both"/>
        <w:rPr>
          <w:color w:val="000000" w:themeColor="text1"/>
          <w:sz w:val="22"/>
          <w:szCs w:val="22"/>
          <w:lang w:val="en-US"/>
        </w:rPr>
      </w:pPr>
    </w:p>
    <w:p w14:paraId="4E968EAF" w14:textId="77777777" w:rsidR="00B91F00" w:rsidRPr="00B91F00" w:rsidRDefault="00B91F00" w:rsidP="00B91F00">
      <w:pPr>
        <w:spacing w:after="0" w:line="276" w:lineRule="auto"/>
        <w:jc w:val="both"/>
        <w:rPr>
          <w:color w:val="000000" w:themeColor="text1"/>
          <w:sz w:val="22"/>
          <w:szCs w:val="22"/>
        </w:rPr>
      </w:pPr>
      <w:r w:rsidRPr="00B91F00">
        <w:rPr>
          <w:color w:val="000000" w:themeColor="text1"/>
          <w:sz w:val="22"/>
          <w:szCs w:val="22"/>
        </w:rPr>
        <w:t>To satisfy the different attenuation requirements for the two cases, the filter design implies the following:</w:t>
      </w:r>
    </w:p>
    <w:p w14:paraId="00ECA944" w14:textId="6D0DD9F9" w:rsidR="00B91F00" w:rsidRPr="00B91F00" w:rsidRDefault="00B91F00" w:rsidP="00B91F00">
      <w:pPr>
        <w:pStyle w:val="ListParagraph"/>
        <w:numPr>
          <w:ilvl w:val="0"/>
          <w:numId w:val="43"/>
        </w:numPr>
        <w:spacing w:after="0" w:line="276" w:lineRule="auto"/>
        <w:ind w:firstLineChars="0"/>
        <w:jc w:val="both"/>
        <w:rPr>
          <w:color w:val="000000" w:themeColor="text1"/>
          <w:sz w:val="22"/>
          <w:szCs w:val="22"/>
        </w:rPr>
      </w:pPr>
      <w:r w:rsidRPr="00B91F00">
        <w:rPr>
          <w:color w:val="000000" w:themeColor="text1"/>
          <w:sz w:val="22"/>
          <w:szCs w:val="22"/>
        </w:rPr>
        <w:t xml:space="preserve">Case 1 filter: </w:t>
      </w:r>
      <w:r w:rsidR="00CD2637">
        <w:rPr>
          <w:color w:val="000000" w:themeColor="text1"/>
          <w:sz w:val="22"/>
          <w:szCs w:val="22"/>
        </w:rPr>
        <w:t>9</w:t>
      </w:r>
      <w:r w:rsidRPr="00B91F00">
        <w:rPr>
          <w:color w:val="000000" w:themeColor="text1"/>
          <w:sz w:val="22"/>
          <w:szCs w:val="22"/>
        </w:rPr>
        <w:t xml:space="preserve"> poles and </w:t>
      </w:r>
      <w:r w:rsidR="00CD2637">
        <w:rPr>
          <w:color w:val="000000" w:themeColor="text1"/>
          <w:sz w:val="22"/>
          <w:szCs w:val="22"/>
        </w:rPr>
        <w:t>4</w:t>
      </w:r>
      <w:r w:rsidRPr="00B91F00">
        <w:rPr>
          <w:color w:val="000000" w:themeColor="text1"/>
          <w:sz w:val="22"/>
          <w:szCs w:val="22"/>
        </w:rPr>
        <w:t xml:space="preserve"> transmission zeros</w:t>
      </w:r>
    </w:p>
    <w:p w14:paraId="12265971" w14:textId="53D1634D" w:rsidR="00B91F00" w:rsidRDefault="00B91F00" w:rsidP="00B91F00">
      <w:pPr>
        <w:pStyle w:val="ListParagraph"/>
        <w:numPr>
          <w:ilvl w:val="0"/>
          <w:numId w:val="43"/>
        </w:numPr>
        <w:spacing w:after="0" w:line="276" w:lineRule="auto"/>
        <w:ind w:firstLineChars="0"/>
        <w:jc w:val="both"/>
        <w:rPr>
          <w:color w:val="000000" w:themeColor="text1"/>
          <w:sz w:val="22"/>
          <w:szCs w:val="22"/>
        </w:rPr>
      </w:pPr>
      <w:r w:rsidRPr="00B91F00">
        <w:rPr>
          <w:color w:val="000000" w:themeColor="text1"/>
          <w:sz w:val="22"/>
          <w:szCs w:val="22"/>
        </w:rPr>
        <w:t xml:space="preserve">Case 2 filter: </w:t>
      </w:r>
      <w:r w:rsidR="00CD2637">
        <w:rPr>
          <w:color w:val="000000" w:themeColor="text1"/>
          <w:sz w:val="22"/>
          <w:szCs w:val="22"/>
        </w:rPr>
        <w:t>8</w:t>
      </w:r>
      <w:r w:rsidRPr="00B91F00">
        <w:rPr>
          <w:color w:val="000000" w:themeColor="text1"/>
          <w:sz w:val="22"/>
          <w:szCs w:val="22"/>
        </w:rPr>
        <w:t xml:space="preserve"> poles and </w:t>
      </w:r>
      <w:r w:rsidR="00CD2637">
        <w:rPr>
          <w:color w:val="000000" w:themeColor="text1"/>
          <w:sz w:val="22"/>
          <w:szCs w:val="22"/>
        </w:rPr>
        <w:t>3</w:t>
      </w:r>
      <w:r w:rsidRPr="00B91F00">
        <w:rPr>
          <w:color w:val="000000" w:themeColor="text1"/>
          <w:sz w:val="22"/>
          <w:szCs w:val="22"/>
        </w:rPr>
        <w:t xml:space="preserve"> transmission zeros</w:t>
      </w:r>
    </w:p>
    <w:p w14:paraId="4CDEBCB6" w14:textId="77777777" w:rsidR="00A24FA9" w:rsidRDefault="00A24FA9" w:rsidP="00B91F00">
      <w:pPr>
        <w:spacing w:after="0" w:line="276" w:lineRule="auto"/>
        <w:jc w:val="both"/>
        <w:rPr>
          <w:color w:val="000000" w:themeColor="text1"/>
          <w:sz w:val="22"/>
          <w:szCs w:val="22"/>
        </w:rPr>
      </w:pPr>
    </w:p>
    <w:p w14:paraId="6A81B41B" w14:textId="381FBEFB" w:rsidR="00EE74D6" w:rsidRDefault="00B91F00" w:rsidP="00EE74D6">
      <w:pPr>
        <w:spacing w:line="276" w:lineRule="auto"/>
        <w:jc w:val="both"/>
        <w:rPr>
          <w:color w:val="000000" w:themeColor="text1"/>
          <w:sz w:val="22"/>
          <w:szCs w:val="22"/>
        </w:rPr>
      </w:pPr>
      <w:r w:rsidRPr="00B91F00">
        <w:rPr>
          <w:color w:val="000000" w:themeColor="text1"/>
          <w:sz w:val="22"/>
          <w:szCs w:val="22"/>
        </w:rPr>
        <w:t>From Figure 1</w:t>
      </w:r>
      <w:r w:rsidR="00AF7AEC">
        <w:rPr>
          <w:color w:val="000000" w:themeColor="text1"/>
          <w:sz w:val="22"/>
          <w:szCs w:val="22"/>
        </w:rPr>
        <w:t>,</w:t>
      </w:r>
      <w:r w:rsidR="00067F20">
        <w:rPr>
          <w:color w:val="000000" w:themeColor="text1"/>
          <w:sz w:val="22"/>
          <w:szCs w:val="22"/>
        </w:rPr>
        <w:t xml:space="preserve"> that visualizes a filter covering </w:t>
      </w:r>
      <w:r w:rsidR="00294066">
        <w:rPr>
          <w:color w:val="000000" w:themeColor="text1"/>
          <w:sz w:val="22"/>
          <w:szCs w:val="22"/>
        </w:rPr>
        <w:t>75 MHz (</w:t>
      </w:r>
      <w:r w:rsidR="00294066" w:rsidRPr="00DD136B">
        <w:rPr>
          <w:color w:val="000000" w:themeColor="text1"/>
          <w:sz w:val="22"/>
          <w:szCs w:val="22"/>
        </w:rPr>
        <w:t>1710-1785 MHz</w:t>
      </w:r>
      <w:r w:rsidR="00294066">
        <w:rPr>
          <w:color w:val="000000" w:themeColor="text1"/>
          <w:sz w:val="22"/>
          <w:szCs w:val="22"/>
        </w:rPr>
        <w:t>)</w:t>
      </w:r>
      <w:r w:rsidR="00294066" w:rsidRPr="00666B21">
        <w:rPr>
          <w:color w:val="000000" w:themeColor="text1"/>
          <w:sz w:val="22"/>
          <w:szCs w:val="22"/>
        </w:rPr>
        <w:t xml:space="preserve"> of bandwidth (e.g. </w:t>
      </w:r>
      <w:r w:rsidR="00294066">
        <w:rPr>
          <w:color w:val="000000" w:themeColor="text1"/>
          <w:sz w:val="22"/>
          <w:szCs w:val="22"/>
        </w:rPr>
        <w:t>B3</w:t>
      </w:r>
      <w:r w:rsidR="00294066" w:rsidRPr="00666B21">
        <w:rPr>
          <w:color w:val="000000" w:themeColor="text1"/>
          <w:sz w:val="22"/>
          <w:szCs w:val="22"/>
        </w:rPr>
        <w:t>)</w:t>
      </w:r>
      <w:r w:rsidRPr="00B91F00">
        <w:rPr>
          <w:color w:val="000000" w:themeColor="text1"/>
          <w:sz w:val="22"/>
          <w:szCs w:val="22"/>
        </w:rPr>
        <w:t xml:space="preserve">, it can be observed that </w:t>
      </w:r>
      <w:r w:rsidR="00176BFE">
        <w:rPr>
          <w:color w:val="000000" w:themeColor="text1"/>
          <w:sz w:val="22"/>
          <w:szCs w:val="22"/>
        </w:rPr>
        <w:t>for OTA AAS and NR Type 1-O BS</w:t>
      </w:r>
      <w:r w:rsidR="00B17E15">
        <w:rPr>
          <w:color w:val="000000" w:themeColor="text1"/>
          <w:sz w:val="22"/>
          <w:szCs w:val="22"/>
        </w:rPr>
        <w:t xml:space="preserve">, applying </w:t>
      </w:r>
      <w:proofErr w:type="gramStart"/>
      <w:r w:rsidR="00B17E15">
        <w:rPr>
          <w:color w:val="000000" w:themeColor="text1"/>
          <w:sz w:val="22"/>
          <w:szCs w:val="22"/>
        </w:rPr>
        <w:t>a</w:t>
      </w:r>
      <w:proofErr w:type="gramEnd"/>
      <w:r w:rsidR="00B17E15">
        <w:rPr>
          <w:color w:val="000000" w:themeColor="text1"/>
          <w:sz w:val="22"/>
          <w:szCs w:val="22"/>
        </w:rPr>
        <w:t xml:space="preserve"> exclusion band of 20 MHz (</w:t>
      </w:r>
      <w:r w:rsidR="00EC6201">
        <w:rPr>
          <w:color w:val="000000" w:themeColor="text1"/>
          <w:sz w:val="22"/>
          <w:szCs w:val="22"/>
        </w:rPr>
        <w:t>black curve</w:t>
      </w:r>
      <w:r w:rsidR="00B17E15">
        <w:rPr>
          <w:color w:val="000000" w:themeColor="text1"/>
          <w:sz w:val="22"/>
          <w:szCs w:val="22"/>
        </w:rPr>
        <w:t>)</w:t>
      </w:r>
      <w:r w:rsidR="00EC6201">
        <w:rPr>
          <w:color w:val="000000" w:themeColor="text1"/>
          <w:sz w:val="22"/>
          <w:szCs w:val="22"/>
        </w:rPr>
        <w:t xml:space="preserve"> </w:t>
      </w:r>
      <w:r w:rsidRPr="00B91F00">
        <w:rPr>
          <w:color w:val="000000" w:themeColor="text1"/>
          <w:sz w:val="22"/>
          <w:szCs w:val="22"/>
        </w:rPr>
        <w:t xml:space="preserve">has </w:t>
      </w:r>
      <w:r w:rsidRPr="00A24FA9">
        <w:rPr>
          <w:b/>
          <w:color w:val="000000" w:themeColor="text1"/>
          <w:sz w:val="22"/>
          <w:szCs w:val="22"/>
        </w:rPr>
        <w:t>significantly higher insertion</w:t>
      </w:r>
      <w:r w:rsidRPr="00B91F00">
        <w:rPr>
          <w:color w:val="000000" w:themeColor="text1"/>
          <w:sz w:val="22"/>
          <w:szCs w:val="22"/>
        </w:rPr>
        <w:t xml:space="preserve"> loss compared to </w:t>
      </w:r>
      <w:r w:rsidR="00EC6201">
        <w:rPr>
          <w:color w:val="000000" w:themeColor="text1"/>
          <w:sz w:val="22"/>
          <w:szCs w:val="22"/>
        </w:rPr>
        <w:t xml:space="preserve">a scenario where the exclusion band is extended to 60 </w:t>
      </w:r>
      <w:proofErr w:type="spellStart"/>
      <w:r w:rsidR="00EC6201">
        <w:rPr>
          <w:color w:val="000000" w:themeColor="text1"/>
          <w:sz w:val="22"/>
          <w:szCs w:val="22"/>
        </w:rPr>
        <w:t>MHz</w:t>
      </w:r>
      <w:r w:rsidR="00C67529">
        <w:rPr>
          <w:color w:val="000000" w:themeColor="text1"/>
          <w:sz w:val="22"/>
          <w:szCs w:val="22"/>
        </w:rPr>
        <w:t>.</w:t>
      </w:r>
      <w:proofErr w:type="spellEnd"/>
      <w:r w:rsidR="00C67529">
        <w:rPr>
          <w:color w:val="000000" w:themeColor="text1"/>
          <w:sz w:val="22"/>
          <w:szCs w:val="22"/>
        </w:rPr>
        <w:t xml:space="preserve"> In addition, </w:t>
      </w:r>
      <w:r w:rsidR="00ED35A3">
        <w:rPr>
          <w:color w:val="000000" w:themeColor="text1"/>
          <w:sz w:val="22"/>
          <w:szCs w:val="22"/>
        </w:rPr>
        <w:t xml:space="preserve">the need for attenuating the impact of the interferer would require </w:t>
      </w:r>
      <w:proofErr w:type="gramStart"/>
      <w:r w:rsidR="00ED35A3">
        <w:rPr>
          <w:color w:val="000000" w:themeColor="text1"/>
          <w:sz w:val="22"/>
          <w:szCs w:val="22"/>
        </w:rPr>
        <w:t xml:space="preserve">to </w:t>
      </w:r>
      <w:r w:rsidR="00B564CA">
        <w:rPr>
          <w:color w:val="000000" w:themeColor="text1"/>
          <w:sz w:val="22"/>
          <w:szCs w:val="22"/>
        </w:rPr>
        <w:t>increase</w:t>
      </w:r>
      <w:proofErr w:type="gramEnd"/>
      <w:r w:rsidR="00B564CA">
        <w:rPr>
          <w:color w:val="000000" w:themeColor="text1"/>
          <w:sz w:val="22"/>
          <w:szCs w:val="22"/>
        </w:rPr>
        <w:t xml:space="preserve"> the filter design complexity. To cover the </w:t>
      </w:r>
      <w:r w:rsidR="008F2412">
        <w:rPr>
          <w:color w:val="000000" w:themeColor="text1"/>
          <w:sz w:val="22"/>
          <w:szCs w:val="22"/>
        </w:rPr>
        <w:t>impact of interferer with 20 MHz exclusion band</w:t>
      </w:r>
      <w:r w:rsidR="006D24DA">
        <w:rPr>
          <w:color w:val="000000" w:themeColor="text1"/>
          <w:sz w:val="22"/>
          <w:szCs w:val="22"/>
        </w:rPr>
        <w:t xml:space="preserve"> requires 9 poles (</w:t>
      </w:r>
      <w:r w:rsidR="00443104">
        <w:rPr>
          <w:color w:val="000000" w:themeColor="text1"/>
          <w:sz w:val="22"/>
          <w:szCs w:val="22"/>
        </w:rPr>
        <w:t>4 transmission zeros</w:t>
      </w:r>
      <w:r w:rsidR="006D24DA">
        <w:rPr>
          <w:color w:val="000000" w:themeColor="text1"/>
          <w:sz w:val="22"/>
          <w:szCs w:val="22"/>
        </w:rPr>
        <w:t>)</w:t>
      </w:r>
      <w:r w:rsidR="00443104">
        <w:rPr>
          <w:color w:val="000000" w:themeColor="text1"/>
          <w:sz w:val="22"/>
          <w:szCs w:val="22"/>
        </w:rPr>
        <w:t xml:space="preserve">, while 60 MHz exclusion band would require </w:t>
      </w:r>
      <w:r w:rsidR="008C0D05">
        <w:rPr>
          <w:color w:val="000000" w:themeColor="text1"/>
          <w:sz w:val="22"/>
          <w:szCs w:val="22"/>
        </w:rPr>
        <w:t>8 poles (3 transmission zeros).</w:t>
      </w:r>
      <w:r w:rsidR="00B564CA">
        <w:rPr>
          <w:color w:val="000000" w:themeColor="text1"/>
          <w:sz w:val="22"/>
          <w:szCs w:val="22"/>
        </w:rPr>
        <w:t xml:space="preserve"> </w:t>
      </w:r>
      <w:r w:rsidR="00EE74D6">
        <w:rPr>
          <w:color w:val="000000" w:themeColor="text1"/>
          <w:sz w:val="22"/>
          <w:szCs w:val="22"/>
        </w:rPr>
        <w:t>In that sense, the exclusion bands/zones definition should reflect these considerations, with wider exclusion bands where the risk of potential damage/undue stress might be higher.</w:t>
      </w:r>
    </w:p>
    <w:p w14:paraId="30A9FA65" w14:textId="42C2733E" w:rsidR="00343867" w:rsidRPr="009F4D49" w:rsidRDefault="00343867" w:rsidP="00575034">
      <w:pPr>
        <w:autoSpaceDE w:val="0"/>
        <w:autoSpaceDN w:val="0"/>
        <w:adjustRightInd w:val="0"/>
        <w:spacing w:after="0" w:line="276" w:lineRule="auto"/>
        <w:jc w:val="both"/>
        <w:rPr>
          <w:b/>
          <w:i/>
          <w:color w:val="000000" w:themeColor="text1"/>
          <w:sz w:val="22"/>
          <w:szCs w:val="22"/>
        </w:rPr>
      </w:pPr>
      <w:r w:rsidRPr="009F4D49">
        <w:rPr>
          <w:b/>
          <w:i/>
          <w:color w:val="000000" w:themeColor="text1"/>
          <w:sz w:val="22"/>
          <w:szCs w:val="22"/>
        </w:rPr>
        <w:t xml:space="preserve">Proposal 1: For EMC immunity given significantly more stringent filter attenuation requirements, the exclusion zones should be extended to </w:t>
      </w:r>
      <w:r w:rsidR="007706C7">
        <w:rPr>
          <w:b/>
          <w:i/>
          <w:color w:val="000000" w:themeColor="text1"/>
          <w:sz w:val="22"/>
          <w:szCs w:val="22"/>
        </w:rPr>
        <w:t>60</w:t>
      </w:r>
      <w:r w:rsidRPr="009F4D49">
        <w:rPr>
          <w:b/>
          <w:i/>
          <w:color w:val="000000" w:themeColor="text1"/>
          <w:sz w:val="22"/>
          <w:szCs w:val="22"/>
        </w:rPr>
        <w:t xml:space="preserve"> MHz for</w:t>
      </w:r>
      <w:r w:rsidR="000C0333">
        <w:rPr>
          <w:b/>
          <w:i/>
          <w:color w:val="000000" w:themeColor="text1"/>
          <w:sz w:val="22"/>
          <w:szCs w:val="22"/>
        </w:rPr>
        <w:t xml:space="preserve"> </w:t>
      </w:r>
      <w:r w:rsidR="002F0700">
        <w:rPr>
          <w:b/>
          <w:i/>
          <w:color w:val="000000" w:themeColor="text1"/>
          <w:sz w:val="22"/>
          <w:szCs w:val="22"/>
        </w:rPr>
        <w:t xml:space="preserve">OTA </w:t>
      </w:r>
      <w:proofErr w:type="gramStart"/>
      <w:r w:rsidR="000C0333">
        <w:rPr>
          <w:b/>
          <w:i/>
          <w:color w:val="000000" w:themeColor="text1"/>
          <w:sz w:val="22"/>
          <w:szCs w:val="22"/>
        </w:rPr>
        <w:t>AAS  and</w:t>
      </w:r>
      <w:proofErr w:type="gramEnd"/>
      <w:r w:rsidR="000C0333">
        <w:rPr>
          <w:b/>
          <w:i/>
          <w:color w:val="000000" w:themeColor="text1"/>
          <w:sz w:val="22"/>
          <w:szCs w:val="22"/>
        </w:rPr>
        <w:t xml:space="preserve"> NR Type 1-O BS with </w:t>
      </w:r>
      <w:r w:rsidRPr="009F4D49">
        <w:rPr>
          <w:b/>
          <w:i/>
          <w:color w:val="000000" w:themeColor="text1"/>
          <w:sz w:val="22"/>
          <w:szCs w:val="22"/>
        </w:rPr>
        <w:t xml:space="preserve">bands </w:t>
      </w:r>
      <w:r w:rsidR="00575034">
        <w:rPr>
          <w:b/>
          <w:i/>
          <w:color w:val="000000" w:themeColor="text1"/>
          <w:sz w:val="22"/>
          <w:szCs w:val="22"/>
        </w:rPr>
        <w:t>lower</w:t>
      </w:r>
      <w:r w:rsidRPr="009F4D49">
        <w:rPr>
          <w:b/>
          <w:i/>
          <w:color w:val="000000" w:themeColor="text1"/>
          <w:sz w:val="22"/>
          <w:szCs w:val="22"/>
        </w:rPr>
        <w:t xml:space="preserve"> than 100 </w:t>
      </w:r>
      <w:proofErr w:type="spellStart"/>
      <w:r w:rsidRPr="009F4D49">
        <w:rPr>
          <w:b/>
          <w:i/>
          <w:color w:val="000000" w:themeColor="text1"/>
          <w:sz w:val="22"/>
          <w:szCs w:val="22"/>
        </w:rPr>
        <w:t>MHz.</w:t>
      </w:r>
      <w:proofErr w:type="spellEnd"/>
      <w:r w:rsidRPr="009F4D49">
        <w:rPr>
          <w:b/>
          <w:i/>
          <w:color w:val="000000" w:themeColor="text1"/>
          <w:sz w:val="22"/>
          <w:szCs w:val="22"/>
        </w:rPr>
        <w:t xml:space="preserve"> </w:t>
      </w:r>
    </w:p>
    <w:p w14:paraId="07084546" w14:textId="6356395D" w:rsidR="00BB0123" w:rsidRDefault="00BB0123" w:rsidP="00C76728">
      <w:pPr>
        <w:spacing w:after="0" w:line="276" w:lineRule="auto"/>
        <w:jc w:val="both"/>
        <w:rPr>
          <w:color w:val="000000" w:themeColor="text1"/>
          <w:sz w:val="22"/>
          <w:szCs w:val="22"/>
        </w:rPr>
      </w:pPr>
    </w:p>
    <w:p w14:paraId="030B6770" w14:textId="77777777" w:rsidR="00C03D8E" w:rsidRPr="002E57B8" w:rsidRDefault="00512090" w:rsidP="00C03D8E">
      <w:pPr>
        <w:pStyle w:val="Heading1"/>
      </w:pPr>
      <w:r>
        <w:t>Conclusion</w:t>
      </w:r>
    </w:p>
    <w:p w14:paraId="1081107D" w14:textId="022CE9E1" w:rsidR="000E7B19" w:rsidRPr="009F4D49" w:rsidRDefault="000E7B19" w:rsidP="000E7B19">
      <w:pPr>
        <w:autoSpaceDE w:val="0"/>
        <w:autoSpaceDN w:val="0"/>
        <w:adjustRightInd w:val="0"/>
        <w:spacing w:after="0" w:line="276" w:lineRule="auto"/>
        <w:jc w:val="both"/>
        <w:rPr>
          <w:color w:val="000000" w:themeColor="text1"/>
          <w:sz w:val="22"/>
          <w:szCs w:val="22"/>
        </w:rPr>
      </w:pPr>
      <w:r w:rsidRPr="009F4D49">
        <w:rPr>
          <w:color w:val="000000" w:themeColor="text1"/>
          <w:sz w:val="22"/>
          <w:szCs w:val="22"/>
        </w:rPr>
        <w:t xml:space="preserve">In this contribution, the relation and implications about EMC immunity and out-of-band blocking for bands </w:t>
      </w:r>
      <w:r w:rsidR="00FA5D5F">
        <w:rPr>
          <w:color w:val="000000" w:themeColor="text1"/>
          <w:sz w:val="22"/>
          <w:szCs w:val="22"/>
        </w:rPr>
        <w:t>below</w:t>
      </w:r>
      <w:r w:rsidR="0096739A">
        <w:rPr>
          <w:color w:val="000000" w:themeColor="text1"/>
          <w:sz w:val="22"/>
          <w:szCs w:val="22"/>
        </w:rPr>
        <w:t xml:space="preserve"> </w:t>
      </w:r>
      <w:r w:rsidR="00FA5D5F">
        <w:rPr>
          <w:color w:val="000000" w:themeColor="text1"/>
          <w:sz w:val="22"/>
          <w:szCs w:val="22"/>
        </w:rPr>
        <w:t>1</w:t>
      </w:r>
      <w:r w:rsidR="0096739A">
        <w:rPr>
          <w:color w:val="000000" w:themeColor="text1"/>
          <w:sz w:val="22"/>
          <w:szCs w:val="22"/>
        </w:rPr>
        <w:t>00</w:t>
      </w:r>
      <w:r w:rsidRPr="009F4D49">
        <w:rPr>
          <w:color w:val="000000" w:themeColor="text1"/>
          <w:sz w:val="22"/>
          <w:szCs w:val="22"/>
        </w:rPr>
        <w:t xml:space="preserve"> MHz was further elaborated and filter examples for different cases were presented. Based on the example filter simulations, it was obvious that the exclusion zone for EMC immunity would need extension as EMC immunity levels are ~30 dB more stringent compared to out-of-band blocking. Without posing any changes to spatial exclusion, we see a need to introduce the extended exclusion zone for EMC immunity and thus propose the following:</w:t>
      </w:r>
    </w:p>
    <w:p w14:paraId="4FD0E817" w14:textId="77777777" w:rsidR="000E7B19" w:rsidRPr="000E7B19" w:rsidRDefault="000E7B19" w:rsidP="000E7B19">
      <w:pPr>
        <w:autoSpaceDE w:val="0"/>
        <w:autoSpaceDN w:val="0"/>
        <w:adjustRightInd w:val="0"/>
        <w:spacing w:after="0" w:line="276" w:lineRule="auto"/>
        <w:rPr>
          <w:b/>
          <w:i/>
          <w:color w:val="000000" w:themeColor="text1"/>
          <w:sz w:val="22"/>
          <w:szCs w:val="22"/>
        </w:rPr>
      </w:pPr>
    </w:p>
    <w:p w14:paraId="55D23DE1" w14:textId="0E86EC29" w:rsidR="00FA5D5F" w:rsidRPr="009F4D49" w:rsidRDefault="000E7B19" w:rsidP="00FA5D5F">
      <w:pPr>
        <w:autoSpaceDE w:val="0"/>
        <w:autoSpaceDN w:val="0"/>
        <w:adjustRightInd w:val="0"/>
        <w:spacing w:after="0" w:line="276" w:lineRule="auto"/>
        <w:jc w:val="both"/>
        <w:rPr>
          <w:b/>
          <w:i/>
          <w:color w:val="000000" w:themeColor="text1"/>
          <w:sz w:val="22"/>
          <w:szCs w:val="22"/>
        </w:rPr>
      </w:pPr>
      <w:r w:rsidRPr="009F4D49">
        <w:rPr>
          <w:b/>
          <w:i/>
          <w:color w:val="000000" w:themeColor="text1"/>
          <w:sz w:val="22"/>
          <w:szCs w:val="22"/>
        </w:rPr>
        <w:t>Proposal 1:</w:t>
      </w:r>
      <w:r w:rsidR="009F4D49" w:rsidRPr="009F4D49">
        <w:rPr>
          <w:b/>
          <w:i/>
          <w:color w:val="000000" w:themeColor="text1"/>
          <w:sz w:val="22"/>
          <w:szCs w:val="22"/>
        </w:rPr>
        <w:t xml:space="preserve"> </w:t>
      </w:r>
      <w:r w:rsidRPr="009F4D49">
        <w:rPr>
          <w:b/>
          <w:i/>
          <w:color w:val="000000" w:themeColor="text1"/>
          <w:sz w:val="22"/>
          <w:szCs w:val="22"/>
        </w:rPr>
        <w:t xml:space="preserve">For EMC immunity given significantly more stringent filter attenuation requirements, the exclusion zones </w:t>
      </w:r>
      <w:r w:rsidR="00FA5D5F">
        <w:rPr>
          <w:b/>
          <w:i/>
          <w:color w:val="000000" w:themeColor="text1"/>
          <w:sz w:val="22"/>
          <w:szCs w:val="22"/>
        </w:rPr>
        <w:t xml:space="preserve">for OTA AAS BS and type 1-O BS </w:t>
      </w:r>
      <w:r w:rsidRPr="009F4D49">
        <w:rPr>
          <w:b/>
          <w:i/>
          <w:color w:val="000000" w:themeColor="text1"/>
          <w:sz w:val="22"/>
          <w:szCs w:val="22"/>
        </w:rPr>
        <w:t xml:space="preserve">should be extended to </w:t>
      </w:r>
      <w:r w:rsidR="000B674F">
        <w:rPr>
          <w:b/>
          <w:i/>
          <w:color w:val="000000" w:themeColor="text1"/>
          <w:sz w:val="22"/>
          <w:szCs w:val="22"/>
        </w:rPr>
        <w:t>60</w:t>
      </w:r>
      <w:r w:rsidRPr="009F4D49">
        <w:rPr>
          <w:b/>
          <w:i/>
          <w:color w:val="000000" w:themeColor="text1"/>
          <w:sz w:val="22"/>
          <w:szCs w:val="22"/>
        </w:rPr>
        <w:t xml:space="preserve"> MHz for bands l</w:t>
      </w:r>
      <w:r w:rsidR="00FA5D5F">
        <w:rPr>
          <w:b/>
          <w:i/>
          <w:color w:val="000000" w:themeColor="text1"/>
          <w:sz w:val="22"/>
          <w:szCs w:val="22"/>
        </w:rPr>
        <w:t>owe</w:t>
      </w:r>
      <w:r w:rsidRPr="009F4D49">
        <w:rPr>
          <w:b/>
          <w:i/>
          <w:color w:val="000000" w:themeColor="text1"/>
          <w:sz w:val="22"/>
          <w:szCs w:val="22"/>
        </w:rPr>
        <w:t>r than 100 MHz</w:t>
      </w:r>
      <w:r w:rsidR="00FA5D5F">
        <w:rPr>
          <w:b/>
          <w:i/>
          <w:color w:val="000000" w:themeColor="text1"/>
          <w:sz w:val="22"/>
          <w:szCs w:val="22"/>
        </w:rPr>
        <w:t xml:space="preserve"> i</w:t>
      </w:r>
      <w:r w:rsidRPr="009F4D49">
        <w:rPr>
          <w:b/>
          <w:i/>
          <w:color w:val="000000" w:themeColor="text1"/>
          <w:sz w:val="22"/>
          <w:szCs w:val="22"/>
        </w:rPr>
        <w:t>. In addition, the extended exclusion zone should be an alternative to spatial exclusion which can facilitate introduction of AAS and NR from EMC perspective towards different administrations.</w:t>
      </w:r>
      <w:r w:rsidR="00FE005B">
        <w:rPr>
          <w:b/>
          <w:i/>
          <w:color w:val="000000" w:themeColor="text1"/>
          <w:sz w:val="22"/>
          <w:szCs w:val="22"/>
        </w:rPr>
        <w:t xml:space="preserve"> </w:t>
      </w:r>
    </w:p>
    <w:p w14:paraId="1D03948B" w14:textId="4A9F23B0" w:rsidR="009F4D49" w:rsidRPr="009F4D49" w:rsidRDefault="009F4D49" w:rsidP="009F4D49">
      <w:pPr>
        <w:autoSpaceDE w:val="0"/>
        <w:autoSpaceDN w:val="0"/>
        <w:adjustRightInd w:val="0"/>
        <w:spacing w:after="0" w:line="276" w:lineRule="auto"/>
        <w:jc w:val="both"/>
        <w:rPr>
          <w:b/>
          <w:i/>
          <w:color w:val="000000" w:themeColor="text1"/>
          <w:sz w:val="22"/>
          <w:szCs w:val="22"/>
        </w:rPr>
      </w:pP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03EB0622" w14:textId="3D77649B" w:rsidR="00582C2D" w:rsidRDefault="00582C2D" w:rsidP="00582C2D">
      <w:pPr>
        <w:pStyle w:val="a"/>
      </w:pPr>
      <w:r w:rsidRPr="00A11794">
        <w:t>R4-18</w:t>
      </w:r>
      <w:r>
        <w:t xml:space="preserve">16681. </w:t>
      </w:r>
      <w:r w:rsidRPr="00582C2D">
        <w:t>Size of exclusion zones for EMC immunity for OTA AAS and NR BS 1-O</w:t>
      </w:r>
    </w:p>
    <w:p w14:paraId="5A648B84" w14:textId="08C836CD" w:rsidR="00753483" w:rsidRDefault="00A11794" w:rsidP="00A11794">
      <w:pPr>
        <w:pStyle w:val="a"/>
      </w:pPr>
      <w:r w:rsidRPr="00A11794">
        <w:t>R4-1802063</w:t>
      </w:r>
      <w:r>
        <w:t xml:space="preserve">. </w:t>
      </w:r>
      <w:r w:rsidR="00753483" w:rsidRPr="00753483">
        <w:t>Definition of Exclusion Bands for AAS and NR</w:t>
      </w:r>
      <w:r w:rsidR="00753483">
        <w:t>, Ericsson,</w:t>
      </w:r>
      <w:r w:rsidR="00E87327">
        <w:t xml:space="preserve"> RAN4#86.</w:t>
      </w:r>
    </w:p>
    <w:p w14:paraId="6A4ED68C" w14:textId="7DA9EE23" w:rsidR="0078006E" w:rsidRDefault="0078006E" w:rsidP="007B4924">
      <w:pPr>
        <w:pStyle w:val="a"/>
      </w:pPr>
      <w:r w:rsidRPr="0078006E">
        <w:t>R4-1804592</w:t>
      </w:r>
      <w:r>
        <w:t xml:space="preserve">. </w:t>
      </w:r>
      <w:r w:rsidR="007B4924" w:rsidRPr="007B4924">
        <w:t>Draft CR to TS 38.113 Exclusion Bands for Radiated Immunity Test</w:t>
      </w:r>
      <w:r w:rsidR="007B4924">
        <w:t>, RAN4#86bis</w:t>
      </w:r>
      <w:r w:rsidR="005E4DA5">
        <w:t>.</w:t>
      </w:r>
    </w:p>
    <w:p w14:paraId="7B21B404" w14:textId="79EEA757" w:rsidR="005E4DA5" w:rsidRDefault="00202536" w:rsidP="00202536">
      <w:pPr>
        <w:pStyle w:val="a"/>
      </w:pPr>
      <w:r w:rsidRPr="00202536">
        <w:t>R4-1806969</w:t>
      </w:r>
      <w:r>
        <w:t xml:space="preserve">. </w:t>
      </w:r>
      <w:r w:rsidRPr="00753483">
        <w:t>Definition of Exclusion Bands for AAS and NR</w:t>
      </w:r>
      <w:r>
        <w:t>, Ericsson, RAN4#87.</w:t>
      </w:r>
    </w:p>
    <w:p w14:paraId="2823A1F5" w14:textId="528BDB2F" w:rsidR="007D62CC" w:rsidRDefault="007D62CC" w:rsidP="007D62CC">
      <w:pPr>
        <w:pStyle w:val="a"/>
      </w:pPr>
      <w:r w:rsidRPr="007D62CC">
        <w:t>R4-1802948</w:t>
      </w:r>
      <w:r>
        <w:t xml:space="preserve">, </w:t>
      </w:r>
      <w:r w:rsidRPr="007D62CC">
        <w:t>Draft CR to TS 38.113: further details on Rx exclusion bands (4.4.2)</w:t>
      </w:r>
      <w:r>
        <w:t xml:space="preserve">. Huawei, </w:t>
      </w:r>
      <w:r w:rsidR="0005169E">
        <w:t>RAN4#86.</w:t>
      </w:r>
    </w:p>
    <w:p w14:paraId="6A4263C9" w14:textId="74351B5E" w:rsidR="0005169E" w:rsidRDefault="0005169E" w:rsidP="0005169E">
      <w:pPr>
        <w:pStyle w:val="a"/>
      </w:pPr>
      <w:r w:rsidRPr="0005169E">
        <w:t>R4-1803768</w:t>
      </w:r>
      <w:r>
        <w:t>. O</w:t>
      </w:r>
      <w:r w:rsidRPr="0005169E">
        <w:t>n Exclusion band of Radiated Immunity test</w:t>
      </w:r>
      <w:r>
        <w:t xml:space="preserve">. </w:t>
      </w:r>
      <w:r w:rsidR="00B9590A">
        <w:t xml:space="preserve">ZTE. </w:t>
      </w:r>
      <w:r>
        <w:t>RAN4#86-bis.</w:t>
      </w:r>
    </w:p>
    <w:p w14:paraId="5F0C5B28" w14:textId="35985622" w:rsidR="0005169E" w:rsidRPr="007D62CC" w:rsidRDefault="0005169E" w:rsidP="00FA4779">
      <w:pPr>
        <w:pStyle w:val="a"/>
      </w:pPr>
      <w:bookmarkStart w:id="3" w:name="_Hlk513227315"/>
      <w:r w:rsidRPr="0005169E">
        <w:t>R4-180376</w:t>
      </w:r>
      <w:r>
        <w:t xml:space="preserve">9. </w:t>
      </w:r>
      <w:r w:rsidR="00FA4779">
        <w:t>O</w:t>
      </w:r>
      <w:r w:rsidR="00FA4779" w:rsidRPr="00FA4779">
        <w:t>n Radiated Immunity and OTA Receiver Blocking requirements</w:t>
      </w:r>
      <w:r w:rsidR="00FA4779">
        <w:t xml:space="preserve">. </w:t>
      </w:r>
      <w:r w:rsidR="00B9590A">
        <w:t xml:space="preserve">ZTE. </w:t>
      </w:r>
      <w:r w:rsidR="00FA4779">
        <w:t>RAN4#86-bis.</w:t>
      </w:r>
    </w:p>
    <w:bookmarkEnd w:id="3"/>
    <w:p w14:paraId="72381923" w14:textId="72725B40" w:rsidR="00B76D33" w:rsidRPr="00B76D33" w:rsidRDefault="00B76D33" w:rsidP="00B76D33">
      <w:pPr>
        <w:pStyle w:val="a"/>
      </w:pPr>
      <w:r>
        <w:rPr>
          <w:color w:val="000000" w:themeColor="text1"/>
          <w:lang w:val="en-US" w:eastAsia="zh-CN"/>
        </w:rPr>
        <w:t xml:space="preserve">TS 37.114. </w:t>
      </w:r>
      <w:r w:rsidRPr="007B66EC">
        <w:rPr>
          <w:lang w:eastAsia="zh-CN"/>
        </w:rPr>
        <w:t xml:space="preserve">3rd Generation Partnership Project; </w:t>
      </w:r>
      <w:r w:rsidRPr="00B76D33">
        <w:rPr>
          <w:color w:val="000000" w:themeColor="text1"/>
          <w:lang w:val="en-US" w:eastAsia="zh-CN"/>
        </w:rPr>
        <w:t>Active Antenna System (AAS) Base Station (BS) Electromagnetic Compatibility (EMC)</w:t>
      </w:r>
    </w:p>
    <w:p w14:paraId="33AB656F" w14:textId="5ABEC93C" w:rsidR="003E56D4" w:rsidRDefault="003E56D4" w:rsidP="00F548B6">
      <w:pPr>
        <w:pStyle w:val="a"/>
      </w:pPr>
      <w:r>
        <w:rPr>
          <w:color w:val="000000" w:themeColor="text1"/>
          <w:lang w:val="en-US" w:eastAsia="zh-CN"/>
        </w:rPr>
        <w:t xml:space="preserve">TS 38.104. </w:t>
      </w:r>
      <w:r w:rsidRPr="007B66EC">
        <w:rPr>
          <w:lang w:eastAsia="zh-CN"/>
        </w:rPr>
        <w:t>3rd Generation Partnership Project;</w:t>
      </w:r>
      <w:r w:rsidR="00F548B6">
        <w:rPr>
          <w:lang w:eastAsia="zh-CN"/>
        </w:rPr>
        <w:t xml:space="preserve"> </w:t>
      </w:r>
      <w:r w:rsidR="00F548B6" w:rsidRPr="00F548B6">
        <w:rPr>
          <w:lang w:eastAsia="zh-CN"/>
        </w:rPr>
        <w:t>NR; Base Station (BS) radio transmission and reception</w:t>
      </w:r>
      <w:r w:rsidR="00F548B6">
        <w:rPr>
          <w:lang w:eastAsia="zh-CN"/>
        </w:rPr>
        <w:t>.</w:t>
      </w:r>
    </w:p>
    <w:p w14:paraId="11ACDBD3" w14:textId="0803AE0E" w:rsidR="004269D6" w:rsidRDefault="00EE445D" w:rsidP="003D7F35">
      <w:pPr>
        <w:pStyle w:val="a"/>
        <w:rPr>
          <w:lang w:eastAsia="zh-CN"/>
        </w:rPr>
      </w:pPr>
      <w:r w:rsidRPr="0059185D">
        <w:rPr>
          <w:lang w:eastAsia="zh-CN"/>
        </w:rPr>
        <w:t xml:space="preserve">ETSI EN 301 489 – </w:t>
      </w:r>
      <w:r>
        <w:rPr>
          <w:lang w:eastAsia="zh-CN"/>
        </w:rPr>
        <w:t xml:space="preserve">1. </w:t>
      </w:r>
      <w:proofErr w:type="spellStart"/>
      <w:r w:rsidR="004269D6">
        <w:t>ElectroMagnetic</w:t>
      </w:r>
      <w:proofErr w:type="spellEnd"/>
      <w:r w:rsidR="004269D6">
        <w:t xml:space="preserve"> Compatibility (EMC) standard for radio equipment and services; Part 1: Common technical requirements</w:t>
      </w:r>
      <w:r w:rsidR="00D43177">
        <w:t xml:space="preserve">; </w:t>
      </w:r>
      <w:r w:rsidR="00D43177" w:rsidRPr="0059185D">
        <w:rPr>
          <w:lang w:eastAsia="zh-CN"/>
        </w:rPr>
        <w:t>Harmonised Standard covering the essential requirements of article 3.1(b) of the Directive 2014/53/EU</w:t>
      </w:r>
      <w:r w:rsidR="00D43177">
        <w:rPr>
          <w:lang w:eastAsia="zh-CN"/>
        </w:rPr>
        <w:t>.</w:t>
      </w:r>
    </w:p>
    <w:p w14:paraId="1354FB95" w14:textId="1E83A4AB" w:rsidR="003E56D4" w:rsidRDefault="003E56D4" w:rsidP="004269D6">
      <w:pPr>
        <w:pStyle w:val="a"/>
        <w:rPr>
          <w:lang w:eastAsia="zh-CN"/>
        </w:rPr>
      </w:pPr>
      <w:r w:rsidRPr="0059185D">
        <w:rPr>
          <w:lang w:eastAsia="zh-CN"/>
        </w:rPr>
        <w:t xml:space="preserve">ETSI EN 301 489 – 50. </w:t>
      </w:r>
      <w:proofErr w:type="spellStart"/>
      <w:r w:rsidRPr="0059185D">
        <w:rPr>
          <w:lang w:eastAsia="zh-CN"/>
        </w:rPr>
        <w:t>ElectroMagnetic</w:t>
      </w:r>
      <w:proofErr w:type="spellEnd"/>
      <w:r w:rsidRPr="0059185D">
        <w:rPr>
          <w:lang w:eastAsia="zh-CN"/>
        </w:rPr>
        <w:t xml:space="preserve">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A436237" w14:textId="02C1403E" w:rsidR="003E56D4" w:rsidRPr="00820BCC" w:rsidRDefault="00354279" w:rsidP="00B76D33">
      <w:pPr>
        <w:pStyle w:val="a"/>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p>
    <w:p w14:paraId="7B4FB832" w14:textId="77777777" w:rsidR="00820BCC" w:rsidRDefault="00820BCC" w:rsidP="00820BCC">
      <w:pPr>
        <w:pStyle w:val="a"/>
      </w:pPr>
      <w:r>
        <w:t>R4-</w:t>
      </w:r>
      <w:proofErr w:type="gramStart"/>
      <w:r>
        <w:t xml:space="preserve">1707480,   </w:t>
      </w:r>
      <w:proofErr w:type="gramEnd"/>
      <w:r>
        <w:t>Discussion on RI testing of OTA AAS BS and the consequences for receiver blocking, Ericsson, RAN4-#84.</w:t>
      </w:r>
    </w:p>
    <w:p w14:paraId="4ACA3216" w14:textId="14C8339B" w:rsidR="00820BCC" w:rsidRDefault="00820BCC" w:rsidP="00820BCC">
      <w:pPr>
        <w:pStyle w:val="a"/>
      </w:pPr>
      <w:r>
        <w:t>R4-1710937, Discussion on extended exclusion band for immunity (assuming spatial exclusion). Ericsson.</w:t>
      </w:r>
    </w:p>
    <w:p w14:paraId="16D1632B" w14:textId="26DC5E83" w:rsidR="0059185D" w:rsidRPr="0059185D" w:rsidRDefault="0059185D" w:rsidP="00D72150">
      <w:pPr>
        <w:pStyle w:val="a"/>
        <w:numPr>
          <w:ilvl w:val="0"/>
          <w:numId w:val="0"/>
        </w:numPr>
        <w:ind w:left="360"/>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37DF5" w14:textId="77777777" w:rsidR="001353AE" w:rsidRDefault="001353AE">
      <w:r>
        <w:separator/>
      </w:r>
    </w:p>
  </w:endnote>
  <w:endnote w:type="continuationSeparator" w:id="0">
    <w:p w14:paraId="08FA334D" w14:textId="77777777" w:rsidR="001353AE" w:rsidRDefault="001353AE">
      <w:r>
        <w:continuationSeparator/>
      </w:r>
    </w:p>
  </w:endnote>
  <w:endnote w:type="continuationNotice" w:id="1">
    <w:p w14:paraId="5B6134FA" w14:textId="77777777" w:rsidR="001353AE" w:rsidRDefault="00135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FA141" w14:textId="77777777" w:rsidR="001353AE" w:rsidRDefault="001353AE">
      <w:r>
        <w:separator/>
      </w:r>
    </w:p>
  </w:footnote>
  <w:footnote w:type="continuationSeparator" w:id="0">
    <w:p w14:paraId="477320AE" w14:textId="77777777" w:rsidR="001353AE" w:rsidRDefault="001353AE">
      <w:r>
        <w:continuationSeparator/>
      </w:r>
    </w:p>
  </w:footnote>
  <w:footnote w:type="continuationNotice" w:id="1">
    <w:p w14:paraId="370341CB" w14:textId="77777777" w:rsidR="001353AE" w:rsidRDefault="00135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9C464C"/>
    <w:multiLevelType w:val="hybridMultilevel"/>
    <w:tmpl w:val="45E6F0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1"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E2591"/>
    <w:multiLevelType w:val="hybridMultilevel"/>
    <w:tmpl w:val="B6F43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33"/>
  </w:num>
  <w:num w:numId="4">
    <w:abstractNumId w:val="17"/>
  </w:num>
  <w:num w:numId="5">
    <w:abstractNumId w:val="13"/>
  </w:num>
  <w:num w:numId="6">
    <w:abstractNumId w:val="24"/>
  </w:num>
  <w:num w:numId="7">
    <w:abstractNumId w:val="19"/>
  </w:num>
  <w:num w:numId="8">
    <w:abstractNumId w:val="9"/>
  </w:num>
  <w:num w:numId="9">
    <w:abstractNumId w:val="1"/>
  </w:num>
  <w:num w:numId="10">
    <w:abstractNumId w:val="25"/>
  </w:num>
  <w:num w:numId="11">
    <w:abstractNumId w:val="5"/>
  </w:num>
  <w:num w:numId="12">
    <w:abstractNumId w:val="21"/>
  </w:num>
  <w:num w:numId="13">
    <w:abstractNumId w:val="27"/>
  </w:num>
  <w:num w:numId="14">
    <w:abstractNumId w:val="15"/>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4"/>
  </w:num>
  <w:num w:numId="27">
    <w:abstractNumId w:val="23"/>
  </w:num>
  <w:num w:numId="28">
    <w:abstractNumId w:val="18"/>
  </w:num>
  <w:num w:numId="29">
    <w:abstractNumId w:val="8"/>
  </w:num>
  <w:num w:numId="30">
    <w:abstractNumId w:val="4"/>
  </w:num>
  <w:num w:numId="31">
    <w:abstractNumId w:val="31"/>
  </w:num>
  <w:num w:numId="32">
    <w:abstractNumId w:val="32"/>
  </w:num>
  <w:num w:numId="33">
    <w:abstractNumId w:val="12"/>
  </w:num>
  <w:num w:numId="34">
    <w:abstractNumId w:val="30"/>
  </w:num>
  <w:num w:numId="35">
    <w:abstractNumId w:val="2"/>
  </w:num>
  <w:num w:numId="36">
    <w:abstractNumId w:val="14"/>
  </w:num>
  <w:num w:numId="37">
    <w:abstractNumId w:val="7"/>
  </w:num>
  <w:num w:numId="38">
    <w:abstractNumId w:val="16"/>
  </w:num>
  <w:num w:numId="39">
    <w:abstractNumId w:val="10"/>
  </w:num>
  <w:num w:numId="40">
    <w:abstractNumId w:val="22"/>
  </w:num>
  <w:num w:numId="41">
    <w:abstractNumId w:val="29"/>
  </w:num>
  <w:num w:numId="42">
    <w:abstractNumId w:val="33"/>
  </w:num>
  <w:num w:numId="43">
    <w:abstractNumId w:val="6"/>
  </w:num>
  <w:num w:numId="4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CBD"/>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AEA"/>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67F20"/>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4B7A"/>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BB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61"/>
    <w:rsid w:val="000B3096"/>
    <w:rsid w:val="000B3D4C"/>
    <w:rsid w:val="000B3DDA"/>
    <w:rsid w:val="000B4459"/>
    <w:rsid w:val="000B4DE6"/>
    <w:rsid w:val="000B4E07"/>
    <w:rsid w:val="000B53EE"/>
    <w:rsid w:val="000B550E"/>
    <w:rsid w:val="000B5B53"/>
    <w:rsid w:val="000B5D53"/>
    <w:rsid w:val="000B5E41"/>
    <w:rsid w:val="000B63F3"/>
    <w:rsid w:val="000B674F"/>
    <w:rsid w:val="000B7B85"/>
    <w:rsid w:val="000C00DC"/>
    <w:rsid w:val="000C016A"/>
    <w:rsid w:val="000C0333"/>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973"/>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B19"/>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59"/>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6F32"/>
    <w:rsid w:val="00117057"/>
    <w:rsid w:val="0011789A"/>
    <w:rsid w:val="001203C0"/>
    <w:rsid w:val="0012059E"/>
    <w:rsid w:val="00120687"/>
    <w:rsid w:val="00120DB7"/>
    <w:rsid w:val="0012197B"/>
    <w:rsid w:val="00121EF6"/>
    <w:rsid w:val="00122C8D"/>
    <w:rsid w:val="00123018"/>
    <w:rsid w:val="00123097"/>
    <w:rsid w:val="0012321A"/>
    <w:rsid w:val="00123A36"/>
    <w:rsid w:val="00123CC0"/>
    <w:rsid w:val="00124554"/>
    <w:rsid w:val="001245C5"/>
    <w:rsid w:val="00124740"/>
    <w:rsid w:val="00124BD4"/>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3AE"/>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623A"/>
    <w:rsid w:val="001566F1"/>
    <w:rsid w:val="00156990"/>
    <w:rsid w:val="00156D88"/>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BFE"/>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96A"/>
    <w:rsid w:val="001E3A64"/>
    <w:rsid w:val="001E3C3F"/>
    <w:rsid w:val="001E3FE4"/>
    <w:rsid w:val="001E4049"/>
    <w:rsid w:val="001E41F3"/>
    <w:rsid w:val="001E4394"/>
    <w:rsid w:val="001E49C9"/>
    <w:rsid w:val="001E4B40"/>
    <w:rsid w:val="001E4CEC"/>
    <w:rsid w:val="001E4FA2"/>
    <w:rsid w:val="001E5017"/>
    <w:rsid w:val="001E5142"/>
    <w:rsid w:val="001E5238"/>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7B4"/>
    <w:rsid w:val="00201A00"/>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97E"/>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37F"/>
    <w:rsid w:val="002425DC"/>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8C0"/>
    <w:rsid w:val="00265E79"/>
    <w:rsid w:val="0026619A"/>
    <w:rsid w:val="002662B7"/>
    <w:rsid w:val="002666BC"/>
    <w:rsid w:val="002666C8"/>
    <w:rsid w:val="00266BC6"/>
    <w:rsid w:val="002671A4"/>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066"/>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700"/>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867"/>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3BC"/>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36EB"/>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5F85"/>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9D6"/>
    <w:rsid w:val="00426C90"/>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104"/>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2A6"/>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F74"/>
    <w:rsid w:val="004B2BE7"/>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802"/>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E99"/>
    <w:rsid w:val="0051305A"/>
    <w:rsid w:val="0051314B"/>
    <w:rsid w:val="00513231"/>
    <w:rsid w:val="0051355E"/>
    <w:rsid w:val="00513786"/>
    <w:rsid w:val="005138D0"/>
    <w:rsid w:val="0051424E"/>
    <w:rsid w:val="005146D5"/>
    <w:rsid w:val="00514C6A"/>
    <w:rsid w:val="00514F3A"/>
    <w:rsid w:val="00515006"/>
    <w:rsid w:val="00515C0F"/>
    <w:rsid w:val="00516292"/>
    <w:rsid w:val="005162F5"/>
    <w:rsid w:val="00516322"/>
    <w:rsid w:val="00516934"/>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09D"/>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57F31"/>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B2C"/>
    <w:rsid w:val="00572C79"/>
    <w:rsid w:val="005732A4"/>
    <w:rsid w:val="005738AC"/>
    <w:rsid w:val="005739DC"/>
    <w:rsid w:val="00573CE9"/>
    <w:rsid w:val="00574002"/>
    <w:rsid w:val="005740E6"/>
    <w:rsid w:val="0057475E"/>
    <w:rsid w:val="00574847"/>
    <w:rsid w:val="005749F0"/>
    <w:rsid w:val="00574C4D"/>
    <w:rsid w:val="00575034"/>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C2D"/>
    <w:rsid w:val="00582DFC"/>
    <w:rsid w:val="00583027"/>
    <w:rsid w:val="005837AD"/>
    <w:rsid w:val="00583C5E"/>
    <w:rsid w:val="00583CAF"/>
    <w:rsid w:val="005842F7"/>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2F21"/>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4D"/>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8A1"/>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824"/>
    <w:rsid w:val="00631CB6"/>
    <w:rsid w:val="0063227B"/>
    <w:rsid w:val="0063240F"/>
    <w:rsid w:val="00632967"/>
    <w:rsid w:val="00632A21"/>
    <w:rsid w:val="00632D49"/>
    <w:rsid w:val="00632E2C"/>
    <w:rsid w:val="0063329B"/>
    <w:rsid w:val="00633A72"/>
    <w:rsid w:val="00633E67"/>
    <w:rsid w:val="0063409E"/>
    <w:rsid w:val="006340A5"/>
    <w:rsid w:val="006346D3"/>
    <w:rsid w:val="00634816"/>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0D80"/>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DF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B21"/>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CBB"/>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8A5"/>
    <w:rsid w:val="006B1D1A"/>
    <w:rsid w:val="006B2404"/>
    <w:rsid w:val="006B24BD"/>
    <w:rsid w:val="006B2B79"/>
    <w:rsid w:val="006B3457"/>
    <w:rsid w:val="006B355D"/>
    <w:rsid w:val="006B3C30"/>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4DA"/>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4AA3"/>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718"/>
    <w:rsid w:val="0074576D"/>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CD"/>
    <w:rsid w:val="007515EA"/>
    <w:rsid w:val="007518C8"/>
    <w:rsid w:val="00752187"/>
    <w:rsid w:val="00752251"/>
    <w:rsid w:val="00752398"/>
    <w:rsid w:val="00752574"/>
    <w:rsid w:val="007528D0"/>
    <w:rsid w:val="00752DA2"/>
    <w:rsid w:val="00752E7E"/>
    <w:rsid w:val="00753068"/>
    <w:rsid w:val="00753483"/>
    <w:rsid w:val="007534BA"/>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6C7"/>
    <w:rsid w:val="00770722"/>
    <w:rsid w:val="00770A50"/>
    <w:rsid w:val="00770A9D"/>
    <w:rsid w:val="00770D3F"/>
    <w:rsid w:val="00771535"/>
    <w:rsid w:val="00771617"/>
    <w:rsid w:val="00771708"/>
    <w:rsid w:val="00771722"/>
    <w:rsid w:val="00771C93"/>
    <w:rsid w:val="00772525"/>
    <w:rsid w:val="007727F9"/>
    <w:rsid w:val="00772C30"/>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6F6"/>
    <w:rsid w:val="007A6908"/>
    <w:rsid w:val="007A69A5"/>
    <w:rsid w:val="007A7B61"/>
    <w:rsid w:val="007A7E50"/>
    <w:rsid w:val="007A7E86"/>
    <w:rsid w:val="007B01DE"/>
    <w:rsid w:val="007B02B4"/>
    <w:rsid w:val="007B0779"/>
    <w:rsid w:val="007B0BA5"/>
    <w:rsid w:val="007B1091"/>
    <w:rsid w:val="007B15BF"/>
    <w:rsid w:val="007B1B6C"/>
    <w:rsid w:val="007B1C10"/>
    <w:rsid w:val="007B1DF5"/>
    <w:rsid w:val="007B1F3B"/>
    <w:rsid w:val="007B2484"/>
    <w:rsid w:val="007B298F"/>
    <w:rsid w:val="007B2DF6"/>
    <w:rsid w:val="007B3097"/>
    <w:rsid w:val="007B3748"/>
    <w:rsid w:val="007B393F"/>
    <w:rsid w:val="007B39B1"/>
    <w:rsid w:val="007B3BCA"/>
    <w:rsid w:val="007B4924"/>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CFE"/>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4BA"/>
    <w:rsid w:val="007D6504"/>
    <w:rsid w:val="007D66D9"/>
    <w:rsid w:val="007D679C"/>
    <w:rsid w:val="007D6C1C"/>
    <w:rsid w:val="007D7103"/>
    <w:rsid w:val="007D7352"/>
    <w:rsid w:val="007D73CC"/>
    <w:rsid w:val="007E07F1"/>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1F53"/>
    <w:rsid w:val="007F221B"/>
    <w:rsid w:val="007F2333"/>
    <w:rsid w:val="007F2CF7"/>
    <w:rsid w:val="007F3307"/>
    <w:rsid w:val="007F3388"/>
    <w:rsid w:val="007F3711"/>
    <w:rsid w:val="007F38D8"/>
    <w:rsid w:val="007F394B"/>
    <w:rsid w:val="007F4085"/>
    <w:rsid w:val="007F47F3"/>
    <w:rsid w:val="007F4BB8"/>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95"/>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0953"/>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4B0"/>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693"/>
    <w:rsid w:val="008647D3"/>
    <w:rsid w:val="008647E0"/>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3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14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0D05"/>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412"/>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4B2"/>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39A"/>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1F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474"/>
    <w:rsid w:val="009A7618"/>
    <w:rsid w:val="009A789A"/>
    <w:rsid w:val="009B036F"/>
    <w:rsid w:val="009B0538"/>
    <w:rsid w:val="009B06A5"/>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DA5"/>
    <w:rsid w:val="009E5F48"/>
    <w:rsid w:val="009E62AB"/>
    <w:rsid w:val="009E698C"/>
    <w:rsid w:val="009E6BF7"/>
    <w:rsid w:val="009E6D83"/>
    <w:rsid w:val="009E73CA"/>
    <w:rsid w:val="009E74EE"/>
    <w:rsid w:val="009E770D"/>
    <w:rsid w:val="009E7A2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D49"/>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4FA9"/>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6B"/>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3C0"/>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1C4A"/>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24A"/>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0DF0"/>
    <w:rsid w:val="00AF1375"/>
    <w:rsid w:val="00AF1458"/>
    <w:rsid w:val="00AF15E5"/>
    <w:rsid w:val="00AF195D"/>
    <w:rsid w:val="00AF1A08"/>
    <w:rsid w:val="00AF22EF"/>
    <w:rsid w:val="00AF2803"/>
    <w:rsid w:val="00AF2A87"/>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AEC"/>
    <w:rsid w:val="00AF7B1E"/>
    <w:rsid w:val="00B003AB"/>
    <w:rsid w:val="00B00467"/>
    <w:rsid w:val="00B00C7A"/>
    <w:rsid w:val="00B0181C"/>
    <w:rsid w:val="00B0188F"/>
    <w:rsid w:val="00B01ECA"/>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15"/>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4CA"/>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030"/>
    <w:rsid w:val="00B865F6"/>
    <w:rsid w:val="00B86C2F"/>
    <w:rsid w:val="00B87206"/>
    <w:rsid w:val="00B8775F"/>
    <w:rsid w:val="00B90490"/>
    <w:rsid w:val="00B90598"/>
    <w:rsid w:val="00B90AA2"/>
    <w:rsid w:val="00B90D3F"/>
    <w:rsid w:val="00B917A8"/>
    <w:rsid w:val="00B91F00"/>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C3E"/>
    <w:rsid w:val="00BC5123"/>
    <w:rsid w:val="00BC523C"/>
    <w:rsid w:val="00BC5B63"/>
    <w:rsid w:val="00BC6727"/>
    <w:rsid w:val="00BC6E76"/>
    <w:rsid w:val="00BC76B7"/>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06BF"/>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C"/>
    <w:rsid w:val="00C34787"/>
    <w:rsid w:val="00C34969"/>
    <w:rsid w:val="00C34AA4"/>
    <w:rsid w:val="00C34D32"/>
    <w:rsid w:val="00C34F70"/>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52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279"/>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637"/>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6056"/>
    <w:rsid w:val="00CD60FC"/>
    <w:rsid w:val="00CD624D"/>
    <w:rsid w:val="00CD673E"/>
    <w:rsid w:val="00CD69B0"/>
    <w:rsid w:val="00CD727C"/>
    <w:rsid w:val="00CD7656"/>
    <w:rsid w:val="00CD76BF"/>
    <w:rsid w:val="00CD7763"/>
    <w:rsid w:val="00CE0243"/>
    <w:rsid w:val="00CE0611"/>
    <w:rsid w:val="00CE0C5F"/>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46FA"/>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CFC"/>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CD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900"/>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29"/>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B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D01E6"/>
    <w:rsid w:val="00DD0725"/>
    <w:rsid w:val="00DD0874"/>
    <w:rsid w:val="00DD0EF0"/>
    <w:rsid w:val="00DD129A"/>
    <w:rsid w:val="00DD136B"/>
    <w:rsid w:val="00DD166A"/>
    <w:rsid w:val="00DD22C5"/>
    <w:rsid w:val="00DD2357"/>
    <w:rsid w:val="00DD26D8"/>
    <w:rsid w:val="00DD2C45"/>
    <w:rsid w:val="00DD2F7F"/>
    <w:rsid w:val="00DD3939"/>
    <w:rsid w:val="00DD3AD0"/>
    <w:rsid w:val="00DD3F86"/>
    <w:rsid w:val="00DD4552"/>
    <w:rsid w:val="00DD5570"/>
    <w:rsid w:val="00DD591A"/>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5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441"/>
    <w:rsid w:val="00E7655C"/>
    <w:rsid w:val="00E76D4B"/>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20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5A3"/>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4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5F3E"/>
    <w:rsid w:val="00EF696F"/>
    <w:rsid w:val="00EF6BDA"/>
    <w:rsid w:val="00EF6CD4"/>
    <w:rsid w:val="00EF6DF5"/>
    <w:rsid w:val="00EF7289"/>
    <w:rsid w:val="00EF76BE"/>
    <w:rsid w:val="00EF7D7F"/>
    <w:rsid w:val="00F0008C"/>
    <w:rsid w:val="00F00190"/>
    <w:rsid w:val="00F0056F"/>
    <w:rsid w:val="00F006C7"/>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BE"/>
    <w:rsid w:val="00F22586"/>
    <w:rsid w:val="00F22C0C"/>
    <w:rsid w:val="00F22F47"/>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D44"/>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A8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23"/>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5D5F"/>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05B"/>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91"/>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541578">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4C466.CF0A3D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3D7DA-CA08-487D-827C-8DA1ADD26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936</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G24</cp:lastModifiedBy>
  <cp:revision>21</cp:revision>
  <cp:lastPrinted>2018-05-03T08:06:00Z</cp:lastPrinted>
  <dcterms:created xsi:type="dcterms:W3CDTF">2019-02-15T10:00:00Z</dcterms:created>
  <dcterms:modified xsi:type="dcterms:W3CDTF">2019-02-15T10:48:00Z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